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AD" w:rsidRPr="007F0EAD" w:rsidRDefault="007F0EAD" w:rsidP="007F0EAD">
      <w:pPr>
        <w:pStyle w:val="ConsPlusNormal"/>
        <w:jc w:val="center"/>
        <w:outlineLvl w:val="0"/>
        <w:rPr>
          <w:b/>
        </w:rPr>
      </w:pPr>
      <w:r w:rsidRPr="007F0EAD">
        <w:rPr>
          <w:b/>
        </w:rPr>
        <w:t>Форма 3.7 Информация об инвестиционных программах регулируемой организации</w:t>
      </w:r>
    </w:p>
    <w:p w:rsidR="007F0EAD" w:rsidRPr="007F0EAD" w:rsidRDefault="007F0EAD" w:rsidP="007F0EAD">
      <w:pPr>
        <w:pStyle w:val="ConsPlusNormal"/>
        <w:jc w:val="center"/>
        <w:outlineLvl w:val="0"/>
        <w:rPr>
          <w:b/>
        </w:rPr>
      </w:pPr>
      <w:r w:rsidRPr="007F0EAD">
        <w:rPr>
          <w:b/>
        </w:rPr>
        <w:t>АО «Морской порт Санкт-Петербург»</w:t>
      </w:r>
    </w:p>
    <w:p w:rsidR="007F0EAD" w:rsidRPr="007F0EAD" w:rsidRDefault="007F0EAD" w:rsidP="007F0EAD">
      <w:pPr>
        <w:pStyle w:val="ConsPlusNormal"/>
        <w:jc w:val="center"/>
        <w:outlineLvl w:val="0"/>
        <w:rPr>
          <w:b/>
        </w:rPr>
      </w:pPr>
      <w:r w:rsidRPr="007F0EAD">
        <w:rPr>
          <w:b/>
        </w:rPr>
        <w:t>201</w:t>
      </w:r>
      <w:r w:rsidR="003F285C">
        <w:rPr>
          <w:b/>
          <w:lang w:val="en-US"/>
        </w:rPr>
        <w:t>9</w:t>
      </w:r>
      <w:bookmarkStart w:id="0" w:name="_GoBack"/>
      <w:bookmarkEnd w:id="0"/>
      <w:r w:rsidRPr="007F0EAD">
        <w:rPr>
          <w:b/>
        </w:rPr>
        <w:t xml:space="preserve"> год</w:t>
      </w:r>
    </w:p>
    <w:p w:rsidR="007F0EAD" w:rsidRPr="007F0EAD" w:rsidRDefault="007F0EAD" w:rsidP="007F0EAD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:rsidR="007F0EAD" w:rsidRPr="007F0EAD" w:rsidRDefault="007F0EAD" w:rsidP="007F0EAD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7F0EAD">
        <w:rPr>
          <w:rFonts w:ascii="Calibri" w:eastAsia="Times New Roman" w:hAnsi="Calibri" w:cs="Calibri"/>
          <w:b/>
          <w:szCs w:val="20"/>
          <w:lang w:eastAsia="ru-RU"/>
        </w:rPr>
        <w:t>Примечание: инвестиционная программа отсутствует.</w:t>
      </w:r>
    </w:p>
    <w:p w:rsidR="007F0EAD" w:rsidRDefault="007F0EAD">
      <w:pPr>
        <w:pStyle w:val="ConsPlusNormal"/>
        <w:jc w:val="both"/>
        <w:outlineLvl w:val="0"/>
      </w:pPr>
    </w:p>
    <w:p w:rsidR="007F0EAD" w:rsidRDefault="007F0EAD">
      <w:pPr>
        <w:pStyle w:val="ConsPlusNormal"/>
        <w:ind w:firstLine="540"/>
        <w:jc w:val="both"/>
      </w:pPr>
    </w:p>
    <w:tbl>
      <w:tblPr>
        <w:tblW w:w="15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3949"/>
        <w:gridCol w:w="2098"/>
        <w:gridCol w:w="2608"/>
      </w:tblGrid>
      <w:tr w:rsidR="007F0EAD" w:rsidTr="007F0EAD">
        <w:tc>
          <w:tcPr>
            <w:tcW w:w="10348" w:type="dxa"/>
            <w:gridSpan w:val="5"/>
          </w:tcPr>
          <w:p w:rsidR="007F0EAD" w:rsidRDefault="007F0EA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7F0EAD" w:rsidRDefault="007F0EA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F0EAD" w:rsidTr="007F0EAD">
        <w:tc>
          <w:tcPr>
            <w:tcW w:w="737" w:type="dxa"/>
            <w:vMerge w:val="restart"/>
          </w:tcPr>
          <w:p w:rsidR="007F0EAD" w:rsidRDefault="007F0E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8" w:type="dxa"/>
            <w:vMerge w:val="restart"/>
          </w:tcPr>
          <w:p w:rsidR="007F0EAD" w:rsidRDefault="007F0EA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7F0EAD" w:rsidRDefault="007F0E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96" w:type="dxa"/>
            <w:gridSpan w:val="2"/>
          </w:tcPr>
          <w:p w:rsidR="007F0EAD" w:rsidRDefault="007F0EA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7F0EAD" w:rsidRDefault="007F0EAD"/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</w:tcPr>
          <w:p w:rsidR="007F0EAD" w:rsidRDefault="007F0EAD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3949" w:type="dxa"/>
          </w:tcPr>
          <w:p w:rsidR="007F0EAD" w:rsidRDefault="007F0EAD">
            <w:pPr>
              <w:pStyle w:val="ConsPlusNormal"/>
              <w:jc w:val="center"/>
            </w:pPr>
            <w:r>
              <w:t xml:space="preserve">Мероприятие </w:t>
            </w:r>
            <w:hyperlink r:id="rId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7F0EAD" w:rsidRDefault="007F0EAD"/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7F0EAD" w:rsidTr="007F0EAD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7F0EAD" w:rsidRDefault="007F0EAD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коэффициента полезного действия);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bookmarkStart w:id="1" w:name="P52"/>
            <w:bookmarkEnd w:id="1"/>
            <w:r>
              <w:t>6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bookmarkStart w:id="2" w:name="P58"/>
            <w:bookmarkEnd w:id="2"/>
            <w:r>
              <w:t>7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</w:pPr>
            <w: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52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 xml:space="preserve">В случае реализации инвестиционной </w:t>
            </w:r>
            <w:r>
              <w:lastRenderedPageBreak/>
              <w:t>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9.2.1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час/день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 xml:space="preserve">Указывается фактическое значение доли потерь и неучтенного потребления воды в общем </w:t>
            </w:r>
            <w:r>
              <w:lastRenderedPageBreak/>
              <w:t>объеме воды, поданной в водопроводную сеть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9.4.2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 xml:space="preserve">Указывается фактическое значение объема потребления воды в расчете на одного человека, получающего услуги организации в отчетном </w:t>
            </w:r>
            <w:r>
              <w:lastRenderedPageBreak/>
              <w:t>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9.7.2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удельный расход электроэнергии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>/куб. м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>/куб. м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>/куб. м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9.9.2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</w:pPr>
            <w: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 xml:space="preserve">Указывается сумма использованных </w:t>
            </w:r>
            <w:r>
              <w:lastRenderedPageBreak/>
              <w:t>инвестиционных средств в III квартале отчетного периода по всем источникам финансирования.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lastRenderedPageBreak/>
              <w:t>10.1.4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7F0EAD" w:rsidTr="007F0EAD">
        <w:tc>
          <w:tcPr>
            <w:tcW w:w="73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7F0EAD" w:rsidRDefault="007F0EAD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Merge w:val="restart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7F0EAD" w:rsidRDefault="007F0EAD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7F0EAD" w:rsidRDefault="007F0EAD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7F0EAD" w:rsidRDefault="007F0EAD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7F0EAD" w:rsidTr="007F0EAD">
        <w:tc>
          <w:tcPr>
            <w:tcW w:w="737" w:type="dxa"/>
            <w:vMerge/>
          </w:tcPr>
          <w:p w:rsidR="007F0EAD" w:rsidRDefault="007F0EAD"/>
        </w:tc>
        <w:tc>
          <w:tcPr>
            <w:tcW w:w="3168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1247" w:type="dxa"/>
            <w:vMerge/>
          </w:tcPr>
          <w:p w:rsidR="007F0EAD" w:rsidRDefault="007F0EAD"/>
        </w:tc>
        <w:tc>
          <w:tcPr>
            <w:tcW w:w="3949" w:type="dxa"/>
            <w:vMerge/>
          </w:tcPr>
          <w:p w:rsidR="007F0EAD" w:rsidRDefault="007F0EAD"/>
        </w:tc>
        <w:tc>
          <w:tcPr>
            <w:tcW w:w="4706" w:type="dxa"/>
            <w:gridSpan w:val="2"/>
            <w:tcBorders>
              <w:top w:val="nil"/>
            </w:tcBorders>
          </w:tcPr>
          <w:p w:rsidR="007F0EAD" w:rsidRDefault="007F0EAD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F0EAD" w:rsidRDefault="007F0EAD">
            <w:pPr>
              <w:pStyle w:val="ConsPlusNormal"/>
            </w:pPr>
          </w:p>
        </w:tc>
      </w:tr>
      <w:tr w:rsidR="007F0EAD" w:rsidTr="007F0EAD">
        <w:tc>
          <w:tcPr>
            <w:tcW w:w="73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168" w:type="dxa"/>
            <w:vAlign w:val="center"/>
          </w:tcPr>
          <w:p w:rsidR="007F0EAD" w:rsidRDefault="007F0EAD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3949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F0EAD" w:rsidRDefault="007F0EA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F0EAD" w:rsidRDefault="007F0EAD">
            <w:pPr>
              <w:pStyle w:val="ConsPlusNormal"/>
            </w:pPr>
          </w:p>
        </w:tc>
      </w:tr>
    </w:tbl>
    <w:p w:rsidR="00B17E1A" w:rsidRDefault="00B17E1A"/>
    <w:sectPr w:rsidR="00B17E1A" w:rsidSect="00622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AD"/>
    <w:rsid w:val="003F285C"/>
    <w:rsid w:val="007F0EAD"/>
    <w:rsid w:val="00B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2254"/>
  <w15:chartTrackingRefBased/>
  <w15:docId w15:val="{AB97C8D5-B684-4322-843B-0A54628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33250EF9611484BC43F36659CFE2B9B7CF3480A4BC93838A6C99A8B8E0EA49FF5975F47B07A7F71C658593BF897A7159F160BFBF707885u7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Куренева Оксана Владимировна</dc:creator>
  <cp:keywords/>
  <dc:description/>
  <cp:lastModifiedBy>Куренева Оксана Владимировна</cp:lastModifiedBy>
  <cp:revision>2</cp:revision>
  <dcterms:created xsi:type="dcterms:W3CDTF">2020-03-11T06:47:00Z</dcterms:created>
  <dcterms:modified xsi:type="dcterms:W3CDTF">2020-03-11T06:47:00Z</dcterms:modified>
</cp:coreProperties>
</file>